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1646E" w14:textId="77777777" w:rsidR="006A3E08" w:rsidRPr="00D358C7" w:rsidRDefault="006A3E08" w:rsidP="006A3E08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8C7">
        <w:rPr>
          <w:rFonts w:ascii="Times New Roman" w:hAnsi="Times New Roman" w:cs="Times New Roman"/>
          <w:b/>
          <w:sz w:val="24"/>
          <w:szCs w:val="24"/>
        </w:rPr>
        <w:t>TÓM TẮT SẢN PHẨM</w:t>
      </w:r>
    </w:p>
    <w:p w14:paraId="61C69FAF" w14:textId="77777777" w:rsidR="00CC609E" w:rsidRPr="00D358C7" w:rsidRDefault="00A57477" w:rsidP="00CC60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8C7">
        <w:rPr>
          <w:rFonts w:ascii="Times New Roman" w:hAnsi="Times New Roman" w:cs="Times New Roman"/>
          <w:b/>
          <w:sz w:val="24"/>
          <w:szCs w:val="24"/>
        </w:rPr>
        <w:t xml:space="preserve">BẢO HIỂM HỖN HỢP VỚI </w:t>
      </w:r>
      <w:r w:rsidR="0026731B" w:rsidRPr="00D358C7">
        <w:rPr>
          <w:rFonts w:ascii="Times New Roman" w:hAnsi="Times New Roman" w:cs="Times New Roman"/>
          <w:b/>
          <w:sz w:val="24"/>
          <w:szCs w:val="24"/>
        </w:rPr>
        <w:t xml:space="preserve">QUYỀN LỢI TIỀN MẶT ĐỊNH KỲ MỖI 3 NĂM </w:t>
      </w:r>
    </w:p>
    <w:p w14:paraId="1BE8E09B" w14:textId="77777777" w:rsidR="00766AB9" w:rsidRPr="00D358C7" w:rsidRDefault="00C63C2E" w:rsidP="006A3E0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358C7">
        <w:rPr>
          <w:rFonts w:ascii="Times New Roman" w:hAnsi="Times New Roman" w:cs="Times New Roman"/>
          <w:sz w:val="24"/>
          <w:szCs w:val="24"/>
        </w:rPr>
        <w:t>Bảo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hiểm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hỗn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hợp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lợi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tiền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mặt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kỳ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mỗi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F73" w:rsidRPr="00D358C7">
        <w:rPr>
          <w:rFonts w:ascii="Times New Roman" w:hAnsi="Times New Roman" w:cs="Times New Roman"/>
          <w:sz w:val="24"/>
          <w:szCs w:val="24"/>
        </w:rPr>
        <w:t>đã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F73" w:rsidRPr="00D358C7"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F73" w:rsidRPr="00D358C7">
        <w:rPr>
          <w:rFonts w:ascii="Times New Roman" w:hAnsi="Times New Roman" w:cs="Times New Roman"/>
          <w:sz w:val="24"/>
          <w:szCs w:val="24"/>
        </w:rPr>
        <w:t>Bộ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F73" w:rsidRPr="00D358C7">
        <w:rPr>
          <w:rFonts w:ascii="Times New Roman" w:hAnsi="Times New Roman" w:cs="Times New Roman"/>
          <w:sz w:val="24"/>
          <w:szCs w:val="24"/>
        </w:rPr>
        <w:t>Tài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F73" w:rsidRPr="00D358C7">
        <w:rPr>
          <w:rFonts w:ascii="Times New Roman" w:hAnsi="Times New Roman" w:cs="Times New Roman"/>
          <w:sz w:val="24"/>
          <w:szCs w:val="24"/>
        </w:rPr>
        <w:t>chính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F73" w:rsidRPr="00D358C7">
        <w:rPr>
          <w:rFonts w:ascii="Times New Roman" w:hAnsi="Times New Roman" w:cs="Times New Roman"/>
          <w:sz w:val="24"/>
          <w:szCs w:val="24"/>
        </w:rPr>
        <w:t>phê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F73" w:rsidRPr="00D358C7">
        <w:rPr>
          <w:rFonts w:ascii="Times New Roman" w:hAnsi="Times New Roman" w:cs="Times New Roman"/>
          <w:sz w:val="24"/>
          <w:szCs w:val="24"/>
        </w:rPr>
        <w:t>chuẩn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F73" w:rsidRPr="00D358C7">
        <w:rPr>
          <w:rFonts w:ascii="Times New Roman" w:hAnsi="Times New Roman" w:cs="Times New Roman"/>
          <w:sz w:val="24"/>
          <w:szCs w:val="24"/>
        </w:rPr>
        <w:t>vào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F73" w:rsidRPr="00D358C7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201</w:t>
      </w:r>
      <w:r w:rsidR="00EB4D24" w:rsidRPr="00D358C7">
        <w:rPr>
          <w:rFonts w:ascii="Times New Roman" w:hAnsi="Times New Roman" w:cs="Times New Roman"/>
          <w:sz w:val="24"/>
          <w:szCs w:val="24"/>
        </w:rPr>
        <w:t>2</w:t>
      </w:r>
      <w:r w:rsidR="00251F73" w:rsidRPr="00D358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A6E03" w:rsidRPr="00D358C7">
        <w:rPr>
          <w:rFonts w:ascii="Times New Roman" w:hAnsi="Times New Roman" w:cs="Times New Roman"/>
          <w:sz w:val="24"/>
          <w:szCs w:val="24"/>
        </w:rPr>
        <w:t>S</w:t>
      </w:r>
      <w:r w:rsidR="00251F73" w:rsidRPr="00D358C7">
        <w:rPr>
          <w:rFonts w:ascii="Times New Roman" w:hAnsi="Times New Roman" w:cs="Times New Roman"/>
          <w:sz w:val="24"/>
          <w:szCs w:val="24"/>
        </w:rPr>
        <w:t>ản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F73" w:rsidRPr="00D358C7">
        <w:rPr>
          <w:rFonts w:ascii="Times New Roman" w:hAnsi="Times New Roman" w:cs="Times New Roman"/>
          <w:sz w:val="24"/>
          <w:szCs w:val="24"/>
        </w:rPr>
        <w:t>phẩm</w:t>
      </w:r>
      <w:proofErr w:type="spellEnd"/>
      <w:r w:rsidR="00251F7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Bảo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hiểm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hỗn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hợp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với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lợi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tiền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mặt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kỳ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mỗi</w:t>
      </w:r>
      <w:proofErr w:type="spellEnd"/>
      <w:r w:rsidRPr="00D358C7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D358C7">
        <w:rPr>
          <w:rFonts w:ascii="Times New Roman" w:hAnsi="Times New Roman" w:cs="Times New Roman"/>
          <w:sz w:val="24"/>
          <w:szCs w:val="24"/>
        </w:rPr>
        <w:t>năm</w:t>
      </w:r>
      <w:proofErr w:type="spellEnd"/>
      <w:r w:rsidR="002A6E03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DAF" w:rsidRPr="00D358C7">
        <w:rPr>
          <w:rFonts w:ascii="Times New Roman" w:hAnsi="Times New Roman" w:cs="Times New Roman"/>
          <w:sz w:val="24"/>
          <w:szCs w:val="24"/>
        </w:rPr>
        <w:t>có</w:t>
      </w:r>
      <w:proofErr w:type="spellEnd"/>
      <w:r w:rsidR="008E0DAF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DAF" w:rsidRPr="00D358C7">
        <w:rPr>
          <w:rFonts w:ascii="Times New Roman" w:hAnsi="Times New Roman" w:cs="Times New Roman"/>
          <w:sz w:val="24"/>
          <w:szCs w:val="24"/>
        </w:rPr>
        <w:t>một</w:t>
      </w:r>
      <w:proofErr w:type="spellEnd"/>
      <w:r w:rsidR="008E0DAF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DAF" w:rsidRPr="00D358C7">
        <w:rPr>
          <w:rFonts w:ascii="Times New Roman" w:hAnsi="Times New Roman" w:cs="Times New Roman"/>
          <w:sz w:val="24"/>
          <w:szCs w:val="24"/>
        </w:rPr>
        <w:t>số</w:t>
      </w:r>
      <w:proofErr w:type="spellEnd"/>
      <w:r w:rsidR="008E0DAF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DAF" w:rsidRPr="00D358C7">
        <w:rPr>
          <w:rFonts w:ascii="Times New Roman" w:hAnsi="Times New Roman" w:cs="Times New Roman"/>
          <w:sz w:val="24"/>
          <w:szCs w:val="24"/>
        </w:rPr>
        <w:t>đặc</w:t>
      </w:r>
      <w:proofErr w:type="spellEnd"/>
      <w:r w:rsidR="008E0DAF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DAF" w:rsidRPr="00D358C7">
        <w:rPr>
          <w:rFonts w:ascii="Times New Roman" w:hAnsi="Times New Roman" w:cs="Times New Roman"/>
          <w:sz w:val="24"/>
          <w:szCs w:val="24"/>
        </w:rPr>
        <w:t>điểm</w:t>
      </w:r>
      <w:proofErr w:type="spellEnd"/>
      <w:r w:rsidR="008E0DAF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DAF" w:rsidRPr="00D358C7">
        <w:rPr>
          <w:rFonts w:ascii="Times New Roman" w:hAnsi="Times New Roman" w:cs="Times New Roman"/>
          <w:sz w:val="24"/>
          <w:szCs w:val="24"/>
        </w:rPr>
        <w:t>nổi</w:t>
      </w:r>
      <w:proofErr w:type="spellEnd"/>
      <w:r w:rsidR="008E0DAF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DAF" w:rsidRPr="00D358C7">
        <w:rPr>
          <w:rFonts w:ascii="Times New Roman" w:hAnsi="Times New Roman" w:cs="Times New Roman"/>
          <w:sz w:val="24"/>
          <w:szCs w:val="24"/>
        </w:rPr>
        <w:t>bật</w:t>
      </w:r>
      <w:proofErr w:type="spellEnd"/>
      <w:r w:rsidR="008E0DAF" w:rsidRPr="00D3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0DAF" w:rsidRPr="00D358C7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8E0DAF" w:rsidRPr="00D358C7">
        <w:rPr>
          <w:rFonts w:ascii="Times New Roman" w:hAnsi="Times New Roman" w:cs="Times New Roman"/>
          <w:sz w:val="24"/>
          <w:szCs w:val="24"/>
        </w:rPr>
        <w:t>:</w:t>
      </w:r>
    </w:p>
    <w:p w14:paraId="4FFD6097" w14:textId="77777777" w:rsidR="002B5E10" w:rsidRPr="00D358C7" w:rsidRDefault="00CC609E" w:rsidP="006B228F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Khách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hàng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sẽ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đượ</w:t>
      </w:r>
      <w:r w:rsidR="002B5E10" w:rsidRPr="00D358C7">
        <w:rPr>
          <w:rFonts w:ascii="Times New Roman" w:hAnsi="Times New Roman" w:cs="Times New Roman"/>
          <w:bCs/>
          <w:sz w:val="24"/>
          <w:szCs w:val="24"/>
        </w:rPr>
        <w:t>c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hưởng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quyền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lợi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bảo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hiểm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tử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vong</w:t>
      </w:r>
      <w:proofErr w:type="spellEnd"/>
      <w:r w:rsidR="00C63C2E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63C2E" w:rsidRPr="00D358C7">
        <w:rPr>
          <w:rFonts w:ascii="Times New Roman" w:hAnsi="Times New Roman" w:cs="Times New Roman"/>
          <w:bCs/>
          <w:sz w:val="24"/>
          <w:szCs w:val="24"/>
        </w:rPr>
        <w:t>hoặc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tàn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tật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toàn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bộ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và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vĩnh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viễn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là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57477" w:rsidRPr="00D358C7">
        <w:rPr>
          <w:rFonts w:ascii="Times New Roman" w:hAnsi="Times New Roman" w:cs="Times New Roman"/>
          <w:bCs/>
          <w:sz w:val="24"/>
          <w:szCs w:val="24"/>
        </w:rPr>
        <w:t>1</w:t>
      </w:r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00%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Số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tiền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bảo</w:t>
      </w:r>
      <w:proofErr w:type="spellEnd"/>
      <w:r w:rsidR="002B5E10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B5E10" w:rsidRPr="00D358C7">
        <w:rPr>
          <w:rFonts w:ascii="Times New Roman" w:hAnsi="Times New Roman" w:cs="Times New Roman"/>
          <w:bCs/>
          <w:sz w:val="24"/>
          <w:szCs w:val="24"/>
        </w:rPr>
        <w:t>hiểm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cộng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thêm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100%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lãi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chia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tích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lũy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và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lãi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chia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cuối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hợp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đồng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66F693B" w14:textId="77777777" w:rsidR="00C63C2E" w:rsidRPr="00D358C7" w:rsidRDefault="00C63C2E" w:rsidP="006B228F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Khách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hàng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sẽ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hưởng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thêm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quyền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lợi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tử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vong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do tai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nạn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với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100%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Số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tiền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bảo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hiểm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B24D73F" w14:textId="77777777" w:rsidR="00C63C2E" w:rsidRPr="00D358C7" w:rsidRDefault="00C63C2E" w:rsidP="00C63C2E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Khách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hàng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sẽ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được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hưởng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quyền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lợi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tiền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mặt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định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kỳ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tùy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theo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thời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hạn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hợp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đồng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nếu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NĐBH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còn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sống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tại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các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ngày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kỷ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niệm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hợp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đồng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có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phát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sinh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quyền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lợi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tiền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mặt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định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kỳ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F626B6C" w14:textId="77777777" w:rsidR="002B5E10" w:rsidRPr="00D358C7" w:rsidRDefault="002B5E10" w:rsidP="00C63C2E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Khách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hàng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sẽ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được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hưởng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quyền</w:t>
      </w:r>
      <w:proofErr w:type="spellEnd"/>
      <w:r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58C7">
        <w:rPr>
          <w:rFonts w:ascii="Times New Roman" w:hAnsi="Times New Roman" w:cs="Times New Roman"/>
          <w:bCs/>
          <w:sz w:val="24"/>
          <w:szCs w:val="24"/>
        </w:rPr>
        <w:t>lợi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đáo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57477" w:rsidRPr="00D358C7">
        <w:rPr>
          <w:rFonts w:ascii="Times New Roman" w:hAnsi="Times New Roman" w:cs="Times New Roman"/>
          <w:bCs/>
          <w:sz w:val="24"/>
          <w:szCs w:val="24"/>
        </w:rPr>
        <w:t>hạn</w:t>
      </w:r>
      <w:proofErr w:type="spellEnd"/>
      <w:r w:rsidR="00A57477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63C2E" w:rsidRPr="00D358C7">
        <w:rPr>
          <w:rFonts w:ascii="Times New Roman" w:hAnsi="Times New Roman" w:cs="Times New Roman"/>
          <w:bCs/>
          <w:sz w:val="24"/>
          <w:szCs w:val="24"/>
        </w:rPr>
        <w:t>tương</w:t>
      </w:r>
      <w:proofErr w:type="spellEnd"/>
      <w:r w:rsidR="00C63C2E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63C2E" w:rsidRPr="00D358C7">
        <w:rPr>
          <w:rFonts w:ascii="Times New Roman" w:hAnsi="Times New Roman" w:cs="Times New Roman"/>
          <w:bCs/>
          <w:sz w:val="24"/>
          <w:szCs w:val="24"/>
        </w:rPr>
        <w:t>ứng</w:t>
      </w:r>
      <w:proofErr w:type="spellEnd"/>
      <w:r w:rsidR="00C63C2E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63C2E" w:rsidRPr="00D358C7">
        <w:rPr>
          <w:rFonts w:ascii="Times New Roman" w:hAnsi="Times New Roman" w:cs="Times New Roman"/>
          <w:bCs/>
          <w:sz w:val="24"/>
          <w:szCs w:val="24"/>
        </w:rPr>
        <w:t>với</w:t>
      </w:r>
      <w:proofErr w:type="spellEnd"/>
      <w:r w:rsidR="00C63C2E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63C2E" w:rsidRPr="00D358C7">
        <w:rPr>
          <w:rFonts w:ascii="Times New Roman" w:hAnsi="Times New Roman" w:cs="Times New Roman"/>
          <w:bCs/>
          <w:sz w:val="24"/>
          <w:szCs w:val="24"/>
        </w:rPr>
        <w:t>thời</w:t>
      </w:r>
      <w:proofErr w:type="spellEnd"/>
      <w:r w:rsidR="00C63C2E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63C2E" w:rsidRPr="00D358C7">
        <w:rPr>
          <w:rFonts w:ascii="Times New Roman" w:hAnsi="Times New Roman" w:cs="Times New Roman"/>
          <w:bCs/>
          <w:sz w:val="24"/>
          <w:szCs w:val="24"/>
        </w:rPr>
        <w:t>hạn</w:t>
      </w:r>
      <w:proofErr w:type="spellEnd"/>
      <w:r w:rsidR="00C63C2E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63C2E" w:rsidRPr="00D358C7">
        <w:rPr>
          <w:rFonts w:ascii="Times New Roman" w:hAnsi="Times New Roman" w:cs="Times New Roman"/>
          <w:bCs/>
          <w:sz w:val="24"/>
          <w:szCs w:val="24"/>
        </w:rPr>
        <w:t>hợp</w:t>
      </w:r>
      <w:proofErr w:type="spellEnd"/>
      <w:r w:rsidR="00C63C2E" w:rsidRPr="00D35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63C2E" w:rsidRPr="00D358C7">
        <w:rPr>
          <w:rFonts w:ascii="Times New Roman" w:hAnsi="Times New Roman" w:cs="Times New Roman"/>
          <w:bCs/>
          <w:sz w:val="24"/>
          <w:szCs w:val="24"/>
        </w:rPr>
        <w:t>đồng</w:t>
      </w:r>
      <w:proofErr w:type="spellEnd"/>
    </w:p>
    <w:p w14:paraId="4DBFD86A" w14:textId="77777777" w:rsidR="006C66D9" w:rsidRPr="00D358C7" w:rsidRDefault="006C66D9" w:rsidP="006C66D9">
      <w:pPr>
        <w:spacing w:before="120"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DE2D9A" w14:textId="77777777" w:rsidR="000A0435" w:rsidRPr="00D358C7" w:rsidRDefault="000A0435" w:rsidP="006C66D9">
      <w:pPr>
        <w:spacing w:before="120"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7"/>
        <w:gridCol w:w="6898"/>
      </w:tblGrid>
      <w:tr w:rsidR="00640517" w:rsidRPr="00D358C7" w14:paraId="42972198" w14:textId="77777777" w:rsidTr="00B13C02">
        <w:tc>
          <w:tcPr>
            <w:tcW w:w="10075" w:type="dxa"/>
            <w:gridSpan w:val="2"/>
            <w:vAlign w:val="center"/>
          </w:tcPr>
          <w:p w14:paraId="0D8857A6" w14:textId="77777777" w:rsidR="00640517" w:rsidRPr="00D358C7" w:rsidRDefault="00640517" w:rsidP="00B13C02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QUYỀN LỢI SẢN PHẨM</w:t>
            </w:r>
          </w:p>
        </w:tc>
      </w:tr>
      <w:tr w:rsidR="000459D3" w:rsidRPr="00D358C7" w14:paraId="6A0E41D1" w14:textId="77777777" w:rsidTr="00B13C02">
        <w:tc>
          <w:tcPr>
            <w:tcW w:w="3177" w:type="dxa"/>
          </w:tcPr>
          <w:p w14:paraId="3AF09717" w14:textId="77777777" w:rsidR="000459D3" w:rsidRPr="00D358C7" w:rsidRDefault="000459D3" w:rsidP="00EE5F4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Quyền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lợi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bảo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hiểm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tử</w:t>
            </w:r>
            <w:proofErr w:type="spellEnd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vong</w:t>
            </w:r>
            <w:proofErr w:type="spellEnd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98" w:type="dxa"/>
          </w:tcPr>
          <w:p w14:paraId="3AE12326" w14:textId="77777777" w:rsidR="000459D3" w:rsidRPr="00D358C7" w:rsidRDefault="00A57477" w:rsidP="0026731B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26731B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STBH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100%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lãi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chia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tích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lũy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lãi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chia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đồng</w:t>
            </w:r>
            <w:proofErr w:type="spellEnd"/>
          </w:p>
        </w:tc>
      </w:tr>
      <w:tr w:rsidR="00A57477" w:rsidRPr="00D358C7" w14:paraId="48FFD958" w14:textId="77777777" w:rsidTr="00B13C02">
        <w:tc>
          <w:tcPr>
            <w:tcW w:w="3177" w:type="dxa"/>
          </w:tcPr>
          <w:p w14:paraId="3FFFE709" w14:textId="77777777" w:rsidR="00A57477" w:rsidRPr="00D358C7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Quyền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lợi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bảo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hiểm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tàn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tật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toàn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bộ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và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vĩnh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viễn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(TTTB&amp;VV)</w:t>
            </w:r>
          </w:p>
        </w:tc>
        <w:tc>
          <w:tcPr>
            <w:tcW w:w="6898" w:type="dxa"/>
          </w:tcPr>
          <w:p w14:paraId="574F24A0" w14:textId="77777777" w:rsidR="00A57477" w:rsidRPr="00D358C7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26731B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STBH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100%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lãi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chia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tích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lũy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lãi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chia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cuối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đồng</w:t>
            </w:r>
            <w:proofErr w:type="spellEnd"/>
          </w:p>
          <w:p w14:paraId="123CFE98" w14:textId="77777777" w:rsidR="00A57477" w:rsidRPr="00D358C7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Lưu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ý: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Quyền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lợi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này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được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cung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cấp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cho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NĐBH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từ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18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tuổi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đến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65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tuổi</w:t>
            </w:r>
            <w:proofErr w:type="spellEnd"/>
          </w:p>
        </w:tc>
      </w:tr>
      <w:tr w:rsidR="00A57477" w:rsidRPr="00D358C7" w14:paraId="67577213" w14:textId="77777777" w:rsidTr="00B13C02">
        <w:tc>
          <w:tcPr>
            <w:tcW w:w="3177" w:type="dxa"/>
          </w:tcPr>
          <w:p w14:paraId="1A41F3CA" w14:textId="77777777" w:rsidR="00A57477" w:rsidRPr="00D358C7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Quyền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lợ</w:t>
            </w:r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tiền</w:t>
            </w:r>
            <w:proofErr w:type="spellEnd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định</w:t>
            </w:r>
            <w:proofErr w:type="spellEnd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E5F46"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kỳ</w:t>
            </w:r>
            <w:proofErr w:type="spellEnd"/>
          </w:p>
        </w:tc>
        <w:tc>
          <w:tcPr>
            <w:tcW w:w="6898" w:type="dxa"/>
          </w:tcPr>
          <w:p w14:paraId="6F3258A8" w14:textId="77777777" w:rsidR="00EE5F46" w:rsidRPr="00D358C7" w:rsidRDefault="00EE5F46" w:rsidP="00EE5F46">
            <w:pPr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Khách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hàng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sẽ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được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hưởng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mặt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tùy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theo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đồ</w:t>
            </w:r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proofErr w:type="spellEnd"/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1594"/>
              <w:gridCol w:w="857"/>
              <w:gridCol w:w="871"/>
              <w:gridCol w:w="871"/>
              <w:gridCol w:w="813"/>
              <w:gridCol w:w="813"/>
              <w:gridCol w:w="740"/>
            </w:tblGrid>
            <w:tr w:rsidR="00EE5F46" w:rsidRPr="00D358C7" w14:paraId="29CBB635" w14:textId="77777777" w:rsidTr="004D339C">
              <w:tc>
                <w:tcPr>
                  <w:tcW w:w="2092" w:type="dxa"/>
                  <w:vMerge w:val="restart"/>
                  <w:vAlign w:val="center"/>
                </w:tcPr>
                <w:p w14:paraId="798021C9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</w:p>
              </w:tc>
              <w:tc>
                <w:tcPr>
                  <w:tcW w:w="5535" w:type="dxa"/>
                  <w:gridSpan w:val="6"/>
                </w:tcPr>
                <w:p w14:paraId="439D067E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trăm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số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tiền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bảo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hiểm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(STBH)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vào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7A0EEDF5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kỷ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niệm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lần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thứ</w:t>
                  </w:r>
                  <w:proofErr w:type="spellEnd"/>
                </w:p>
              </w:tc>
            </w:tr>
            <w:tr w:rsidR="00EE5F46" w:rsidRPr="00D358C7" w14:paraId="5E7C3B54" w14:textId="77777777" w:rsidTr="004D339C">
              <w:tc>
                <w:tcPr>
                  <w:tcW w:w="2092" w:type="dxa"/>
                  <w:vMerge/>
                </w:tcPr>
                <w:p w14:paraId="0719DFCE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</w:tcPr>
                <w:p w14:paraId="06AB9F6E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0" w:type="dxa"/>
                </w:tcPr>
                <w:p w14:paraId="010FFE48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90" w:type="dxa"/>
                </w:tcPr>
                <w:p w14:paraId="5D9AAFED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00" w:type="dxa"/>
                </w:tcPr>
                <w:p w14:paraId="125BF18A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00" w:type="dxa"/>
                </w:tcPr>
                <w:p w14:paraId="6C4E0349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87" w:type="dxa"/>
                </w:tcPr>
                <w:p w14:paraId="07E104A7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EE5F46" w:rsidRPr="00D358C7" w14:paraId="66CDFE1C" w14:textId="77777777" w:rsidTr="004D339C">
              <w:tc>
                <w:tcPr>
                  <w:tcW w:w="2092" w:type="dxa"/>
                </w:tcPr>
                <w:p w14:paraId="5EFCFC5A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9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</w:p>
              </w:tc>
              <w:tc>
                <w:tcPr>
                  <w:tcW w:w="968" w:type="dxa"/>
                </w:tcPr>
                <w:p w14:paraId="2A69E5AF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10%</w:t>
                  </w:r>
                </w:p>
              </w:tc>
              <w:tc>
                <w:tcPr>
                  <w:tcW w:w="990" w:type="dxa"/>
                </w:tcPr>
                <w:p w14:paraId="3B9D2E03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990" w:type="dxa"/>
                </w:tcPr>
                <w:p w14:paraId="17FAEEDA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900" w:type="dxa"/>
                </w:tcPr>
                <w:p w14:paraId="10A9D8CC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00" w:type="dxa"/>
                </w:tcPr>
                <w:p w14:paraId="5EEEB50B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7" w:type="dxa"/>
                </w:tcPr>
                <w:p w14:paraId="06A443E9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EE5F46" w:rsidRPr="00D358C7" w14:paraId="40B6CCA9" w14:textId="77777777" w:rsidTr="004D339C">
              <w:tc>
                <w:tcPr>
                  <w:tcW w:w="2092" w:type="dxa"/>
                </w:tcPr>
                <w:p w14:paraId="079A686B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</w:p>
              </w:tc>
              <w:tc>
                <w:tcPr>
                  <w:tcW w:w="968" w:type="dxa"/>
                </w:tcPr>
                <w:p w14:paraId="49A48818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10%</w:t>
                  </w:r>
                </w:p>
              </w:tc>
              <w:tc>
                <w:tcPr>
                  <w:tcW w:w="990" w:type="dxa"/>
                </w:tcPr>
                <w:p w14:paraId="4805D58A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990" w:type="dxa"/>
                </w:tcPr>
                <w:p w14:paraId="22DDDA4A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900" w:type="dxa"/>
                </w:tcPr>
                <w:p w14:paraId="340C037A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900" w:type="dxa"/>
                </w:tcPr>
                <w:p w14:paraId="4BEE3ACF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87" w:type="dxa"/>
                </w:tcPr>
                <w:p w14:paraId="0D52E8BA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EE5F46" w:rsidRPr="00D358C7" w14:paraId="3F5C4DCA" w14:textId="77777777" w:rsidTr="004D339C">
              <w:tc>
                <w:tcPr>
                  <w:tcW w:w="2092" w:type="dxa"/>
                </w:tcPr>
                <w:p w14:paraId="3FD645DD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15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</w:p>
              </w:tc>
              <w:tc>
                <w:tcPr>
                  <w:tcW w:w="968" w:type="dxa"/>
                </w:tcPr>
                <w:p w14:paraId="1A42FA4A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10%</w:t>
                  </w:r>
                </w:p>
              </w:tc>
              <w:tc>
                <w:tcPr>
                  <w:tcW w:w="990" w:type="dxa"/>
                </w:tcPr>
                <w:p w14:paraId="1688BBE8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990" w:type="dxa"/>
                </w:tcPr>
                <w:p w14:paraId="169D70A6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900" w:type="dxa"/>
                </w:tcPr>
                <w:p w14:paraId="30F76114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900" w:type="dxa"/>
                </w:tcPr>
                <w:p w14:paraId="1D540EC4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787" w:type="dxa"/>
                </w:tcPr>
                <w:p w14:paraId="3CC72828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EE5F46" w:rsidRPr="00D358C7" w14:paraId="23C83A97" w14:textId="77777777" w:rsidTr="004D339C">
              <w:tc>
                <w:tcPr>
                  <w:tcW w:w="2092" w:type="dxa"/>
                </w:tcPr>
                <w:p w14:paraId="53210E41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18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</w:p>
              </w:tc>
              <w:tc>
                <w:tcPr>
                  <w:tcW w:w="968" w:type="dxa"/>
                </w:tcPr>
                <w:p w14:paraId="362CC595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10%</w:t>
                  </w:r>
                </w:p>
              </w:tc>
              <w:tc>
                <w:tcPr>
                  <w:tcW w:w="990" w:type="dxa"/>
                </w:tcPr>
                <w:p w14:paraId="6EA4A32B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990" w:type="dxa"/>
                </w:tcPr>
                <w:p w14:paraId="3D1491BF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900" w:type="dxa"/>
                </w:tcPr>
                <w:p w14:paraId="5928203B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900" w:type="dxa"/>
                </w:tcPr>
                <w:p w14:paraId="73695B16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15%</w:t>
                  </w:r>
                </w:p>
              </w:tc>
              <w:tc>
                <w:tcPr>
                  <w:tcW w:w="787" w:type="dxa"/>
                </w:tcPr>
                <w:p w14:paraId="2BD84B29" w14:textId="77777777" w:rsidR="00EE5F46" w:rsidRPr="00D358C7" w:rsidRDefault="00EE5F46" w:rsidP="00EE5F46">
                  <w:pPr>
                    <w:pStyle w:val="ListParagraph"/>
                    <w:spacing w:before="60" w:after="60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20%</w:t>
                  </w:r>
                </w:p>
              </w:tc>
            </w:tr>
          </w:tbl>
          <w:p w14:paraId="537C6C66" w14:textId="77777777" w:rsidR="00A57477" w:rsidRPr="00D358C7" w:rsidRDefault="00242B57" w:rsidP="00242B5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Lưu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ý: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Quyền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lợi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cung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cấp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khi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NĐBH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còn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sống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vào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các</w:t>
            </w:r>
            <w:proofErr w:type="spellEnd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ngày</w:t>
            </w:r>
            <w:proofErr w:type="spellEnd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kỷ</w:t>
            </w:r>
            <w:proofErr w:type="spellEnd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niệm</w:t>
            </w:r>
            <w:proofErr w:type="spellEnd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hợp</w:t>
            </w:r>
            <w:proofErr w:type="spellEnd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đồng</w:t>
            </w:r>
            <w:proofErr w:type="spellEnd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này</w:t>
            </w:r>
            <w:proofErr w:type="spellEnd"/>
            <w:r w:rsidR="00EB4D24"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57477" w:rsidRPr="00D358C7" w14:paraId="37AF213D" w14:textId="77777777" w:rsidTr="00B13C02">
        <w:tc>
          <w:tcPr>
            <w:tcW w:w="3177" w:type="dxa"/>
          </w:tcPr>
          <w:p w14:paraId="20C027C2" w14:textId="77777777" w:rsidR="00A57477" w:rsidRPr="00D358C7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Quyền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lợi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đáo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6898" w:type="dxa"/>
          </w:tcPr>
          <w:p w14:paraId="06C203B0" w14:textId="77777777" w:rsidR="00A57477" w:rsidRPr="00D358C7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>đáo</w:t>
            </w:r>
            <w:proofErr w:type="spellEnd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>tỷ</w:t>
            </w:r>
            <w:proofErr w:type="spellEnd"/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>lệ</w:t>
            </w:r>
            <w:proofErr w:type="spellEnd"/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>phần</w:t>
            </w:r>
            <w:proofErr w:type="spellEnd"/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>trăm</w:t>
            </w:r>
            <w:proofErr w:type="spellEnd"/>
            <w:r w:rsidR="00EB4D24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STBH </w:t>
            </w:r>
            <w:proofErr w:type="spellStart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>tương</w:t>
            </w:r>
            <w:proofErr w:type="spellEnd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>ứng</w:t>
            </w:r>
            <w:proofErr w:type="spellEnd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>đồng</w:t>
            </w:r>
            <w:proofErr w:type="spellEnd"/>
          </w:p>
          <w:tbl>
            <w:tblPr>
              <w:tblStyle w:val="TableGrid"/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2892"/>
              <w:gridCol w:w="868"/>
              <w:gridCol w:w="922"/>
              <w:gridCol w:w="922"/>
              <w:gridCol w:w="906"/>
            </w:tblGrid>
            <w:tr w:rsidR="00C63C2E" w:rsidRPr="00D358C7" w14:paraId="399176B0" w14:textId="77777777" w:rsidTr="004D339C">
              <w:tc>
                <w:tcPr>
                  <w:tcW w:w="3731" w:type="dxa"/>
                </w:tcPr>
                <w:p w14:paraId="5C1431FB" w14:textId="77777777" w:rsidR="00C63C2E" w:rsidRPr="00D358C7" w:rsidRDefault="00C63C2E" w:rsidP="00C63C2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Thời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hợp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đồng</w:t>
                  </w:r>
                  <w:proofErr w:type="spellEnd"/>
                </w:p>
              </w:tc>
              <w:tc>
                <w:tcPr>
                  <w:tcW w:w="909" w:type="dxa"/>
                  <w:vAlign w:val="center"/>
                </w:tcPr>
                <w:p w14:paraId="0DCE491F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9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</w:p>
              </w:tc>
              <w:tc>
                <w:tcPr>
                  <w:tcW w:w="987" w:type="dxa"/>
                  <w:vAlign w:val="center"/>
                </w:tcPr>
                <w:p w14:paraId="3DD7E30F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</w:p>
              </w:tc>
              <w:tc>
                <w:tcPr>
                  <w:tcW w:w="987" w:type="dxa"/>
                  <w:vAlign w:val="center"/>
                </w:tcPr>
                <w:p w14:paraId="1E2E8427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15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</w:p>
              </w:tc>
              <w:tc>
                <w:tcPr>
                  <w:tcW w:w="964" w:type="dxa"/>
                  <w:vAlign w:val="center"/>
                </w:tcPr>
                <w:p w14:paraId="79908D81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18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năm</w:t>
                  </w:r>
                  <w:proofErr w:type="spellEnd"/>
                </w:p>
              </w:tc>
            </w:tr>
            <w:tr w:rsidR="00C63C2E" w:rsidRPr="00D358C7" w14:paraId="1EB21463" w14:textId="77777777" w:rsidTr="004D339C">
              <w:tc>
                <w:tcPr>
                  <w:tcW w:w="3731" w:type="dxa"/>
                </w:tcPr>
                <w:p w14:paraId="1C831C46" w14:textId="77777777" w:rsidR="00C63C2E" w:rsidRPr="00D358C7" w:rsidRDefault="00C63C2E" w:rsidP="00C63C2E">
                  <w:pPr>
                    <w:tabs>
                      <w:tab w:val="right" w:pos="3515"/>
                    </w:tabs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trăm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STBH</w:t>
                  </w: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đáo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</w:p>
              </w:tc>
              <w:tc>
                <w:tcPr>
                  <w:tcW w:w="909" w:type="dxa"/>
                  <w:vAlign w:val="center"/>
                </w:tcPr>
                <w:p w14:paraId="6CE07734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45%</w:t>
                  </w:r>
                </w:p>
              </w:tc>
              <w:tc>
                <w:tcPr>
                  <w:tcW w:w="987" w:type="dxa"/>
                  <w:vAlign w:val="center"/>
                </w:tcPr>
                <w:p w14:paraId="7A49F48E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987" w:type="dxa"/>
                  <w:vAlign w:val="center"/>
                </w:tcPr>
                <w:p w14:paraId="0237F6BB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75%</w:t>
                  </w:r>
                </w:p>
              </w:tc>
              <w:tc>
                <w:tcPr>
                  <w:tcW w:w="964" w:type="dxa"/>
                  <w:vAlign w:val="center"/>
                </w:tcPr>
                <w:p w14:paraId="38012340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90%</w:t>
                  </w:r>
                </w:p>
              </w:tc>
            </w:tr>
            <w:tr w:rsidR="00C63C2E" w:rsidRPr="00D358C7" w14:paraId="740F7625" w14:textId="77777777" w:rsidTr="004D339C">
              <w:tc>
                <w:tcPr>
                  <w:tcW w:w="3731" w:type="dxa"/>
                </w:tcPr>
                <w:p w14:paraId="30C4E50B" w14:textId="77777777" w:rsidR="00C63C2E" w:rsidRPr="00D358C7" w:rsidRDefault="00C63C2E" w:rsidP="00C63C2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trăm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LCTL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đáo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</w:p>
              </w:tc>
              <w:tc>
                <w:tcPr>
                  <w:tcW w:w="909" w:type="dxa"/>
                  <w:vAlign w:val="center"/>
                </w:tcPr>
                <w:p w14:paraId="0C93B0FD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987" w:type="dxa"/>
                  <w:vAlign w:val="center"/>
                </w:tcPr>
                <w:p w14:paraId="18F99328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987" w:type="dxa"/>
                  <w:vAlign w:val="center"/>
                </w:tcPr>
                <w:p w14:paraId="398F36AE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964" w:type="dxa"/>
                  <w:vAlign w:val="center"/>
                </w:tcPr>
                <w:p w14:paraId="4631802F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</w:tr>
            <w:tr w:rsidR="00C63C2E" w:rsidRPr="00D358C7" w14:paraId="7D88A69E" w14:textId="77777777" w:rsidTr="004D339C">
              <w:tc>
                <w:tcPr>
                  <w:tcW w:w="3731" w:type="dxa"/>
                </w:tcPr>
                <w:p w14:paraId="103458F0" w14:textId="77777777" w:rsidR="00C63C2E" w:rsidRPr="00D358C7" w:rsidRDefault="00C63C2E" w:rsidP="00C63C2E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Tỷ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lệ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phần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trăm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LCCHĐ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tại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ngày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đáo</w:t>
                  </w:r>
                  <w:proofErr w:type="spellEnd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hạn</w:t>
                  </w:r>
                  <w:proofErr w:type="spellEnd"/>
                </w:p>
              </w:tc>
              <w:tc>
                <w:tcPr>
                  <w:tcW w:w="909" w:type="dxa"/>
                  <w:vAlign w:val="center"/>
                </w:tcPr>
                <w:p w14:paraId="4344AD74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987" w:type="dxa"/>
                  <w:vAlign w:val="center"/>
                </w:tcPr>
                <w:p w14:paraId="3CBF12CF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987" w:type="dxa"/>
                  <w:vAlign w:val="center"/>
                </w:tcPr>
                <w:p w14:paraId="0941569C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964" w:type="dxa"/>
                  <w:vAlign w:val="center"/>
                </w:tcPr>
                <w:p w14:paraId="2AA4561F" w14:textId="77777777" w:rsidR="00C63C2E" w:rsidRPr="00D358C7" w:rsidRDefault="00C63C2E" w:rsidP="00C63C2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</w:tr>
          </w:tbl>
          <w:p w14:paraId="7E6D06E9" w14:textId="77777777" w:rsidR="00C63C2E" w:rsidRPr="00D358C7" w:rsidRDefault="00242B57" w:rsidP="00A574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Lưu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ý: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Quyền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lợi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cung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cấp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khi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NĐBH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còn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sống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vào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ngày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đáo</w:t>
            </w:r>
            <w:proofErr w:type="spellEnd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i/>
                <w:sz w:val="24"/>
                <w:szCs w:val="24"/>
              </w:rPr>
              <w:t>hạn</w:t>
            </w:r>
            <w:proofErr w:type="spellEnd"/>
          </w:p>
        </w:tc>
      </w:tr>
      <w:tr w:rsidR="00A57477" w:rsidRPr="00D358C7" w14:paraId="595F77E0" w14:textId="77777777" w:rsidTr="00B13C02">
        <w:tc>
          <w:tcPr>
            <w:tcW w:w="10075" w:type="dxa"/>
            <w:gridSpan w:val="2"/>
            <w:vAlign w:val="center"/>
          </w:tcPr>
          <w:p w14:paraId="549B0018" w14:textId="77777777" w:rsidR="00A57477" w:rsidRPr="00D358C7" w:rsidRDefault="00A57477" w:rsidP="00A574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THÔNG TIN KHI THAM GIA</w:t>
            </w:r>
          </w:p>
        </w:tc>
      </w:tr>
      <w:tr w:rsidR="00A57477" w:rsidRPr="00D358C7" w14:paraId="30916ECA" w14:textId="77777777" w:rsidTr="00B13C02">
        <w:tc>
          <w:tcPr>
            <w:tcW w:w="3177" w:type="dxa"/>
          </w:tcPr>
          <w:p w14:paraId="3E86C070" w14:textId="77777777" w:rsidR="00A57477" w:rsidRPr="00D358C7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Tuổi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tham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gia</w:t>
            </w:r>
            <w:proofErr w:type="spellEnd"/>
          </w:p>
        </w:tc>
        <w:tc>
          <w:tcPr>
            <w:tcW w:w="6898" w:type="dxa"/>
          </w:tcPr>
          <w:p w14:paraId="52917063" w14:textId="77777777" w:rsidR="00A57477" w:rsidRPr="00D358C7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tuổi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F46" w:rsidRPr="00D358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tuổi</w:t>
            </w:r>
            <w:proofErr w:type="spellEnd"/>
          </w:p>
        </w:tc>
      </w:tr>
      <w:tr w:rsidR="00EB4D24" w:rsidRPr="00D358C7" w14:paraId="0E45B32E" w14:textId="77777777" w:rsidTr="00B13C02">
        <w:tc>
          <w:tcPr>
            <w:tcW w:w="3177" w:type="dxa"/>
          </w:tcPr>
          <w:p w14:paraId="565419A4" w14:textId="77777777" w:rsidR="00EB4D24" w:rsidRPr="00D358C7" w:rsidRDefault="00EB4D24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Tuối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tối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đa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kết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thúc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hợp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6898" w:type="dxa"/>
          </w:tcPr>
          <w:p w14:paraId="736895BF" w14:textId="77777777" w:rsidR="00EB4D24" w:rsidRPr="00D358C7" w:rsidRDefault="00EB4D24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tuổi</w:t>
            </w:r>
            <w:proofErr w:type="spellEnd"/>
          </w:p>
        </w:tc>
      </w:tr>
      <w:tr w:rsidR="00A57477" w:rsidRPr="00D358C7" w14:paraId="1E18E242" w14:textId="77777777" w:rsidTr="00B13C02">
        <w:tc>
          <w:tcPr>
            <w:tcW w:w="3177" w:type="dxa"/>
          </w:tcPr>
          <w:p w14:paraId="22F7A9AE" w14:textId="77777777" w:rsidR="00A57477" w:rsidRPr="00D358C7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Thời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hạn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hợp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6898" w:type="dxa"/>
          </w:tcPr>
          <w:p w14:paraId="12353402" w14:textId="77777777" w:rsidR="00A57477" w:rsidRPr="00D358C7" w:rsidRDefault="00EE5F46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, 12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57477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="00A57477" w:rsidRPr="00D358C7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hoặc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18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</w:p>
        </w:tc>
      </w:tr>
      <w:tr w:rsidR="00A57477" w:rsidRPr="00D358C7" w14:paraId="100E2B59" w14:textId="77777777" w:rsidTr="00B13C02">
        <w:tc>
          <w:tcPr>
            <w:tcW w:w="3177" w:type="dxa"/>
          </w:tcPr>
          <w:p w14:paraId="3BACB3ED" w14:textId="77777777" w:rsidR="00A57477" w:rsidRPr="00D358C7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Thời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hạn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đóng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6898" w:type="dxa"/>
          </w:tcPr>
          <w:p w14:paraId="6B7F5C8B" w14:textId="77777777" w:rsidR="00A57477" w:rsidRPr="00D358C7" w:rsidRDefault="00EE5F46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Bằng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đồng</w:t>
            </w:r>
            <w:proofErr w:type="spellEnd"/>
          </w:p>
        </w:tc>
      </w:tr>
    </w:tbl>
    <w:p w14:paraId="0AA1A9B6" w14:textId="77777777" w:rsidR="001B6ECD" w:rsidRPr="00D358C7" w:rsidRDefault="001B6ECD" w:rsidP="00817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6121"/>
      </w:tblGrid>
      <w:tr w:rsidR="001B6ECD" w:rsidRPr="00D358C7" w14:paraId="55680226" w14:textId="77777777" w:rsidTr="00CC609E">
        <w:tc>
          <w:tcPr>
            <w:tcW w:w="3186" w:type="dxa"/>
          </w:tcPr>
          <w:p w14:paraId="76F85D51" w14:textId="77777777" w:rsidR="001B6ECD" w:rsidRPr="00D358C7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Tên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kỹ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thuật</w:t>
            </w:r>
            <w:proofErr w:type="spellEnd"/>
          </w:p>
        </w:tc>
        <w:tc>
          <w:tcPr>
            <w:tcW w:w="6121" w:type="dxa"/>
          </w:tcPr>
          <w:p w14:paraId="3120E117" w14:textId="77777777" w:rsidR="001B6ECD" w:rsidRPr="00D358C7" w:rsidRDefault="00C63C2E" w:rsidP="004D339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hiểm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hỗn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với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Quyền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lợi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mặt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định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kỳ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mỗi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</w:p>
        </w:tc>
      </w:tr>
      <w:tr w:rsidR="001B6ECD" w:rsidRPr="00D358C7" w14:paraId="7E950683" w14:textId="77777777" w:rsidTr="00CC609E">
        <w:tc>
          <w:tcPr>
            <w:tcW w:w="3186" w:type="dxa"/>
          </w:tcPr>
          <w:p w14:paraId="122760FF" w14:textId="77777777" w:rsidR="001B6ECD" w:rsidRPr="00D358C7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Tên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thương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mại</w:t>
            </w:r>
            <w:proofErr w:type="spellEnd"/>
          </w:p>
        </w:tc>
        <w:tc>
          <w:tcPr>
            <w:tcW w:w="6121" w:type="dxa"/>
          </w:tcPr>
          <w:p w14:paraId="0BC0CD6A" w14:textId="77777777" w:rsidR="001B6ECD" w:rsidRPr="00D358C7" w:rsidRDefault="001B6ECD" w:rsidP="00C63C2E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proofErr w:type="spellStart"/>
            <w:r w:rsidR="00A57477" w:rsidRPr="00D358C7">
              <w:rPr>
                <w:rFonts w:ascii="Times New Roman" w:hAnsi="Times New Roman" w:cs="Times New Roman"/>
                <w:sz w:val="24"/>
                <w:szCs w:val="24"/>
              </w:rPr>
              <w:t>Phúc</w:t>
            </w:r>
            <w:proofErr w:type="spellEnd"/>
            <w:r w:rsidR="00A57477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57477" w:rsidRPr="00D358C7">
              <w:rPr>
                <w:rFonts w:ascii="Times New Roman" w:hAnsi="Times New Roman" w:cs="Times New Roman"/>
                <w:sz w:val="24"/>
                <w:szCs w:val="24"/>
              </w:rPr>
              <w:t>Hưng</w:t>
            </w:r>
            <w:proofErr w:type="spellEnd"/>
            <w:r w:rsidR="00A57477"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3C2E" w:rsidRPr="00D358C7">
              <w:rPr>
                <w:rFonts w:ascii="Times New Roman" w:hAnsi="Times New Roman" w:cs="Times New Roman"/>
                <w:sz w:val="24"/>
                <w:szCs w:val="24"/>
              </w:rPr>
              <w:t>Gia</w:t>
            </w:r>
            <w:proofErr w:type="spellEnd"/>
          </w:p>
        </w:tc>
      </w:tr>
      <w:tr w:rsidR="001B6ECD" w:rsidRPr="00D358C7" w14:paraId="77D2DF7A" w14:textId="77777777" w:rsidTr="00CC609E">
        <w:tc>
          <w:tcPr>
            <w:tcW w:w="3186" w:type="dxa"/>
          </w:tcPr>
          <w:p w14:paraId="3627D9D5" w14:textId="77777777" w:rsidR="001B6ECD" w:rsidRPr="00D358C7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Số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công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văn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phê</w:t>
            </w:r>
            <w:proofErr w:type="spellEnd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58C7">
              <w:rPr>
                <w:rFonts w:ascii="Times New Roman" w:hAnsi="Times New Roman" w:cs="Times New Roman"/>
                <w:b/>
                <w:sz w:val="24"/>
                <w:szCs w:val="24"/>
              </w:rPr>
              <w:t>chuẩn</w:t>
            </w:r>
            <w:proofErr w:type="spellEnd"/>
          </w:p>
        </w:tc>
        <w:tc>
          <w:tcPr>
            <w:tcW w:w="6121" w:type="dxa"/>
          </w:tcPr>
          <w:p w14:paraId="31DC9F2A" w14:textId="77777777" w:rsidR="001B6ECD" w:rsidRPr="00D358C7" w:rsidRDefault="00EE5F46" w:rsidP="004D339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7400/BTC-QLBH </w:t>
            </w:r>
            <w:proofErr w:type="spellStart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D358C7">
              <w:rPr>
                <w:rFonts w:ascii="Times New Roman" w:hAnsi="Times New Roman" w:cs="Times New Roman"/>
                <w:sz w:val="24"/>
                <w:szCs w:val="24"/>
              </w:rPr>
              <w:t xml:space="preserve"> 04/06/2012</w:t>
            </w:r>
          </w:p>
        </w:tc>
      </w:tr>
    </w:tbl>
    <w:p w14:paraId="6FD447A0" w14:textId="77777777" w:rsidR="00817E63" w:rsidRPr="00D358C7" w:rsidRDefault="00E00EB2" w:rsidP="00E00EB2">
      <w:pPr>
        <w:tabs>
          <w:tab w:val="left" w:pos="740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58C7">
        <w:rPr>
          <w:rFonts w:ascii="Times New Roman" w:hAnsi="Times New Roman" w:cs="Times New Roman"/>
          <w:sz w:val="24"/>
          <w:szCs w:val="24"/>
        </w:rPr>
        <w:tab/>
      </w:r>
    </w:p>
    <w:sectPr w:rsidR="00817E63" w:rsidRPr="00D358C7" w:rsidSect="00B13C02">
      <w:footerReference w:type="default" r:id="rId8"/>
      <w:pgSz w:w="11909" w:h="16834" w:code="9"/>
      <w:pgMar w:top="1152" w:right="659" w:bottom="1152" w:left="810" w:header="720" w:footer="2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511FA" w14:textId="77777777" w:rsidR="004D7497" w:rsidRDefault="004D7497" w:rsidP="00ED03DB">
      <w:pPr>
        <w:spacing w:after="0" w:line="240" w:lineRule="auto"/>
      </w:pPr>
      <w:r>
        <w:separator/>
      </w:r>
    </w:p>
  </w:endnote>
  <w:endnote w:type="continuationSeparator" w:id="0">
    <w:p w14:paraId="40D98AF6" w14:textId="77777777" w:rsidR="004D7497" w:rsidRDefault="004D7497" w:rsidP="00ED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D8ABE" w14:textId="77777777" w:rsidR="00581F32" w:rsidRPr="00ED03DB" w:rsidRDefault="00581F32" w:rsidP="00ED03DB">
    <w:pPr>
      <w:pStyle w:val="Footer"/>
      <w:rPr>
        <w:rFonts w:ascii="Times New Roman" w:hAnsi="Times New Roman" w:cs="Times New Roman"/>
        <w:i/>
        <w:sz w:val="20"/>
        <w:szCs w:val="24"/>
      </w:rPr>
    </w:pPr>
    <w:r>
      <w:rPr>
        <w:sz w:val="20"/>
      </w:rPr>
      <w:tab/>
    </w:r>
    <w:r w:rsidRPr="00ED03DB">
      <w:rPr>
        <w:sz w:val="20"/>
      </w:rPr>
      <w:tab/>
    </w:r>
    <w:sdt>
      <w:sdtPr>
        <w:rPr>
          <w:sz w:val="20"/>
        </w:rPr>
        <w:id w:val="61133039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Cs w:val="24"/>
        </w:rPr>
      </w:sdtEndPr>
      <w:sdtContent>
        <w:sdt>
          <w:sdtPr>
            <w:rPr>
              <w:sz w:val="20"/>
            </w:rPr>
            <w:id w:val="1538552024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i/>
              <w:szCs w:val="24"/>
            </w:rPr>
          </w:sdtEndPr>
          <w:sdtContent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Trang 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begin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instrText xml:space="preserve"> PAGE </w:instrTex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separate"/>
            </w:r>
            <w:r w:rsidR="00D358C7">
              <w:rPr>
                <w:rFonts w:ascii="Times New Roman" w:hAnsi="Times New Roman" w:cs="Times New Roman"/>
                <w:i/>
                <w:noProof/>
                <w:sz w:val="20"/>
                <w:szCs w:val="24"/>
              </w:rPr>
              <w:t>1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end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/ 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begin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instrText xml:space="preserve"> NUMPAGES  </w:instrTex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separate"/>
            </w:r>
            <w:r w:rsidR="00D358C7">
              <w:rPr>
                <w:rFonts w:ascii="Times New Roman" w:hAnsi="Times New Roman" w:cs="Times New Roman"/>
                <w:i/>
                <w:noProof/>
                <w:sz w:val="20"/>
                <w:szCs w:val="24"/>
              </w:rPr>
              <w:t>2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end"/>
            </w:r>
          </w:sdtContent>
        </w:sdt>
      </w:sdtContent>
    </w:sdt>
  </w:p>
  <w:p w14:paraId="60A06A72" w14:textId="77777777" w:rsidR="00581F32" w:rsidRDefault="00581F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DB23C" w14:textId="77777777" w:rsidR="004D7497" w:rsidRDefault="004D7497" w:rsidP="00ED03DB">
      <w:pPr>
        <w:spacing w:after="0" w:line="240" w:lineRule="auto"/>
      </w:pPr>
      <w:r>
        <w:separator/>
      </w:r>
    </w:p>
  </w:footnote>
  <w:footnote w:type="continuationSeparator" w:id="0">
    <w:p w14:paraId="43A2CAF6" w14:textId="77777777" w:rsidR="004D7497" w:rsidRDefault="004D7497" w:rsidP="00ED0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E5F3E"/>
    <w:multiLevelType w:val="hybridMultilevel"/>
    <w:tmpl w:val="7D58018C"/>
    <w:lvl w:ilvl="0" w:tplc="365605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20BEA"/>
    <w:multiLevelType w:val="hybridMultilevel"/>
    <w:tmpl w:val="98C4408C"/>
    <w:lvl w:ilvl="0" w:tplc="1BDA042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32B5925"/>
    <w:multiLevelType w:val="hybridMultilevel"/>
    <w:tmpl w:val="576C31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48DE"/>
    <w:multiLevelType w:val="hybridMultilevel"/>
    <w:tmpl w:val="400E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00B78"/>
    <w:multiLevelType w:val="hybridMultilevel"/>
    <w:tmpl w:val="4FAE49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211BA"/>
    <w:multiLevelType w:val="hybridMultilevel"/>
    <w:tmpl w:val="A5A40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05062"/>
    <w:multiLevelType w:val="hybridMultilevel"/>
    <w:tmpl w:val="8D22B674"/>
    <w:lvl w:ilvl="0" w:tplc="D82C981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2081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E2D38C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FC67C3A">
      <w:start w:val="1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436E9B"/>
    <w:multiLevelType w:val="hybridMultilevel"/>
    <w:tmpl w:val="E8E4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B2C86"/>
    <w:multiLevelType w:val="hybridMultilevel"/>
    <w:tmpl w:val="83583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E15E5"/>
    <w:multiLevelType w:val="hybridMultilevel"/>
    <w:tmpl w:val="4A7E47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D0717D"/>
    <w:multiLevelType w:val="hybridMultilevel"/>
    <w:tmpl w:val="10726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40EC9"/>
    <w:multiLevelType w:val="hybridMultilevel"/>
    <w:tmpl w:val="DC428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652CB"/>
    <w:multiLevelType w:val="hybridMultilevel"/>
    <w:tmpl w:val="E34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E23F9"/>
    <w:multiLevelType w:val="hybridMultilevel"/>
    <w:tmpl w:val="884AFD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E0B23"/>
    <w:multiLevelType w:val="hybridMultilevel"/>
    <w:tmpl w:val="B9CC63EE"/>
    <w:lvl w:ilvl="0" w:tplc="0344AD3C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0"/>
  </w:num>
  <w:num w:numId="5">
    <w:abstractNumId w:val="3"/>
  </w:num>
  <w:num w:numId="6">
    <w:abstractNumId w:val="11"/>
  </w:num>
  <w:num w:numId="7">
    <w:abstractNumId w:val="5"/>
  </w:num>
  <w:num w:numId="8">
    <w:abstractNumId w:val="2"/>
  </w:num>
  <w:num w:numId="9">
    <w:abstractNumId w:val="12"/>
  </w:num>
  <w:num w:numId="10">
    <w:abstractNumId w:val="4"/>
  </w:num>
  <w:num w:numId="11">
    <w:abstractNumId w:val="8"/>
  </w:num>
  <w:num w:numId="12">
    <w:abstractNumId w:val="1"/>
  </w:num>
  <w:num w:numId="13">
    <w:abstractNumId w:val="14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9"/>
    <w:rsid w:val="00002C49"/>
    <w:rsid w:val="000159F0"/>
    <w:rsid w:val="00030B5C"/>
    <w:rsid w:val="000363C8"/>
    <w:rsid w:val="000459D3"/>
    <w:rsid w:val="00047CB7"/>
    <w:rsid w:val="00062013"/>
    <w:rsid w:val="000A0435"/>
    <w:rsid w:val="000B1182"/>
    <w:rsid w:val="000C0080"/>
    <w:rsid w:val="000E1C7D"/>
    <w:rsid w:val="00111FEB"/>
    <w:rsid w:val="001124E2"/>
    <w:rsid w:val="00114F7F"/>
    <w:rsid w:val="00150E85"/>
    <w:rsid w:val="00181530"/>
    <w:rsid w:val="001B6ECD"/>
    <w:rsid w:val="001C4EF3"/>
    <w:rsid w:val="001E1950"/>
    <w:rsid w:val="0020413A"/>
    <w:rsid w:val="00242B57"/>
    <w:rsid w:val="00251F73"/>
    <w:rsid w:val="0025246A"/>
    <w:rsid w:val="0026731B"/>
    <w:rsid w:val="00287B3A"/>
    <w:rsid w:val="002951AE"/>
    <w:rsid w:val="002A6E03"/>
    <w:rsid w:val="002B5E10"/>
    <w:rsid w:val="002D6E6A"/>
    <w:rsid w:val="002E4758"/>
    <w:rsid w:val="002F2CB3"/>
    <w:rsid w:val="00360096"/>
    <w:rsid w:val="00393279"/>
    <w:rsid w:val="003B767D"/>
    <w:rsid w:val="003E779D"/>
    <w:rsid w:val="003E7E37"/>
    <w:rsid w:val="003F3D04"/>
    <w:rsid w:val="00474485"/>
    <w:rsid w:val="00480754"/>
    <w:rsid w:val="00497C55"/>
    <w:rsid w:val="004B3806"/>
    <w:rsid w:val="004D7497"/>
    <w:rsid w:val="00523082"/>
    <w:rsid w:val="00555416"/>
    <w:rsid w:val="00581F32"/>
    <w:rsid w:val="00584862"/>
    <w:rsid w:val="00594EB0"/>
    <w:rsid w:val="005A7A6E"/>
    <w:rsid w:val="005B10AC"/>
    <w:rsid w:val="005C2490"/>
    <w:rsid w:val="005F5327"/>
    <w:rsid w:val="00640517"/>
    <w:rsid w:val="006659C8"/>
    <w:rsid w:val="006807CC"/>
    <w:rsid w:val="006A0067"/>
    <w:rsid w:val="006A3E08"/>
    <w:rsid w:val="006B228F"/>
    <w:rsid w:val="006B3524"/>
    <w:rsid w:val="006C66D9"/>
    <w:rsid w:val="006D4A66"/>
    <w:rsid w:val="00727B0E"/>
    <w:rsid w:val="007470C4"/>
    <w:rsid w:val="00751712"/>
    <w:rsid w:val="0075251B"/>
    <w:rsid w:val="00762C14"/>
    <w:rsid w:val="00766AB9"/>
    <w:rsid w:val="007A5966"/>
    <w:rsid w:val="007D172C"/>
    <w:rsid w:val="008060C2"/>
    <w:rsid w:val="00817E63"/>
    <w:rsid w:val="00864080"/>
    <w:rsid w:val="00883550"/>
    <w:rsid w:val="008A275C"/>
    <w:rsid w:val="008E0DAF"/>
    <w:rsid w:val="009045EA"/>
    <w:rsid w:val="00976F91"/>
    <w:rsid w:val="009831BD"/>
    <w:rsid w:val="0098674F"/>
    <w:rsid w:val="009F09B3"/>
    <w:rsid w:val="00A1516C"/>
    <w:rsid w:val="00A338E9"/>
    <w:rsid w:val="00A57477"/>
    <w:rsid w:val="00AA0C1B"/>
    <w:rsid w:val="00AB3178"/>
    <w:rsid w:val="00AE4273"/>
    <w:rsid w:val="00B13C02"/>
    <w:rsid w:val="00B32305"/>
    <w:rsid w:val="00B542BC"/>
    <w:rsid w:val="00B559DE"/>
    <w:rsid w:val="00B76A05"/>
    <w:rsid w:val="00BC39C4"/>
    <w:rsid w:val="00BD1C2F"/>
    <w:rsid w:val="00BF4876"/>
    <w:rsid w:val="00C045D6"/>
    <w:rsid w:val="00C0605E"/>
    <w:rsid w:val="00C16F6E"/>
    <w:rsid w:val="00C450FD"/>
    <w:rsid w:val="00C547F9"/>
    <w:rsid w:val="00C63C2E"/>
    <w:rsid w:val="00C642D9"/>
    <w:rsid w:val="00C82CF2"/>
    <w:rsid w:val="00C961FA"/>
    <w:rsid w:val="00CC609E"/>
    <w:rsid w:val="00CD061D"/>
    <w:rsid w:val="00CE69EF"/>
    <w:rsid w:val="00D26DCC"/>
    <w:rsid w:val="00D34324"/>
    <w:rsid w:val="00D358C7"/>
    <w:rsid w:val="00D421CF"/>
    <w:rsid w:val="00D6528D"/>
    <w:rsid w:val="00D87E6B"/>
    <w:rsid w:val="00DD0995"/>
    <w:rsid w:val="00E00EB2"/>
    <w:rsid w:val="00E22D24"/>
    <w:rsid w:val="00E44EB4"/>
    <w:rsid w:val="00E6273D"/>
    <w:rsid w:val="00E67083"/>
    <w:rsid w:val="00E93F79"/>
    <w:rsid w:val="00EA5B87"/>
    <w:rsid w:val="00EB4D24"/>
    <w:rsid w:val="00ED03DB"/>
    <w:rsid w:val="00ED3474"/>
    <w:rsid w:val="00EE5F46"/>
    <w:rsid w:val="00F176DF"/>
    <w:rsid w:val="00F4751C"/>
    <w:rsid w:val="00F57057"/>
    <w:rsid w:val="00F90DB4"/>
    <w:rsid w:val="00FB0B38"/>
    <w:rsid w:val="00FB5907"/>
    <w:rsid w:val="00FD123C"/>
    <w:rsid w:val="00FD231F"/>
    <w:rsid w:val="00FD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3B1D5"/>
  <w15:docId w15:val="{16D0D559-3B09-4F0B-B709-1BAB4EB5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AB9"/>
    <w:pPr>
      <w:ind w:left="720"/>
      <w:contextualSpacing/>
    </w:pPr>
  </w:style>
  <w:style w:type="character" w:customStyle="1" w:styleId="longtext">
    <w:name w:val="long_text"/>
    <w:basedOn w:val="DefaultParagraphFont"/>
    <w:rsid w:val="00766AB9"/>
  </w:style>
  <w:style w:type="character" w:customStyle="1" w:styleId="hps">
    <w:name w:val="hps"/>
    <w:basedOn w:val="DefaultParagraphFont"/>
    <w:rsid w:val="00766AB9"/>
  </w:style>
  <w:style w:type="table" w:styleId="TableGrid">
    <w:name w:val="Table Grid"/>
    <w:basedOn w:val="TableNormal"/>
    <w:uiPriority w:val="39"/>
    <w:rsid w:val="00817E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D0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03DB"/>
  </w:style>
  <w:style w:type="paragraph" w:styleId="Footer">
    <w:name w:val="footer"/>
    <w:basedOn w:val="Normal"/>
    <w:link w:val="FooterChar"/>
    <w:uiPriority w:val="99"/>
    <w:unhideWhenUsed/>
    <w:rsid w:val="00ED0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DB"/>
  </w:style>
  <w:style w:type="paragraph" w:styleId="BalloonText">
    <w:name w:val="Balloon Text"/>
    <w:basedOn w:val="Normal"/>
    <w:link w:val="BalloonTextChar"/>
    <w:uiPriority w:val="99"/>
    <w:semiHidden/>
    <w:unhideWhenUsed/>
    <w:rsid w:val="00581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F3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40517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6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867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159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9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9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9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9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FECE7-69F4-4477-A15E-9E575AD7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VPRD801</dc:creator>
  <cp:lastModifiedBy>Vo, Anh-Ngoc</cp:lastModifiedBy>
  <cp:revision>5</cp:revision>
  <cp:lastPrinted>2017-02-22T10:35:00Z</cp:lastPrinted>
  <dcterms:created xsi:type="dcterms:W3CDTF">2017-08-22T04:19:00Z</dcterms:created>
  <dcterms:modified xsi:type="dcterms:W3CDTF">2017-12-20T07:09:00Z</dcterms:modified>
</cp:coreProperties>
</file>